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0" w:before="60"/>
        <w:contextualSpacing w:val="false"/>
        <w:jc w:val="center"/>
      </w:pPr>
      <w:r>
        <w:rPr/>
        <w:t>Сводная ведомость результатов проведения специальной оценки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</w:t>
      </w:r>
      <w:r>
        <w:rPr>
          <w:rStyle w:val="style18"/>
        </w:rPr>
        <w:t>Поле пользователя ceh_info = авод"</w:t>
      </w:r>
      <w:r>
        <w:rPr>
          <w:rStyle w:val="style18"/>
        </w:rPr>
        <w:t> </w:t>
      </w:r>
    </w:p>
    <w:p>
      <w:pPr>
        <w:pStyle w:val="style0"/>
        <w:suppressAutoHyphens w:val="true"/>
        <w:jc w:val="right"/>
      </w:pPr>
      <w:r>
        <w:rPr/>
        <w:t>Таблица 1</w:t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459"/>
        <w:gridCol w:w="3898"/>
        <w:gridCol w:w="7768"/>
      </w:tblGrid>
      <w:tr>
        <w:trPr>
          <w:trHeight w:hRule="atLeast" w:val="475"/>
          <w:cantSplit w:val="false"/>
        </w:trPr>
        <w:tc>
          <w:tcPr>
            <w:tcW w:type="dxa" w:w="345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type="dxa" w:w="3898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7768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345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eastAsia="Calibri"/>
                <w:sz w:val="20"/>
                <w:lang w:eastAsia="en-US"/>
              </w:rPr>
            </w:r>
          </w:p>
        </w:tc>
        <w:tc>
          <w:tcPr>
            <w:tcW w:type="dxa" w:w="3898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eastAsia="Calibri"/>
                <w:sz w:val="20"/>
                <w:lang w:eastAsia="en-US"/>
              </w:rPr>
            </w:r>
          </w:p>
        </w:tc>
        <w:tc>
          <w:tcPr>
            <w:tcW w:type="dxa" w:w="104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type="dxa" w:w="104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type="dxa" w:w="461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type="dxa" w:w="105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hRule="atLeast" w:val="313"/>
          <w:cantSplit w:val="false"/>
        </w:trPr>
        <w:tc>
          <w:tcPr>
            <w:tcW w:type="dxa" w:w="345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eastAsia="Calibri"/>
                <w:sz w:val="20"/>
                <w:lang w:eastAsia="en-US"/>
              </w:rPr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type="dxa" w:w="104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eastAsia="Calibri"/>
                <w:sz w:val="20"/>
                <w:lang w:eastAsia="en-US"/>
              </w:rPr>
            </w:r>
          </w:p>
        </w:tc>
        <w:tc>
          <w:tcPr>
            <w:tcW w:type="dxa" w:w="104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eastAsia="Calibri"/>
                <w:sz w:val="20"/>
                <w:lang w:eastAsia="en-US"/>
              </w:rPr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type="dxa" w:w="105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eastAsia="Calibri"/>
                <w:sz w:val="20"/>
                <w:lang w:eastAsia="en-US"/>
              </w:rPr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style28"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jc w:val="right"/>
      </w:pPr>
      <w:r>
        <w:rPr/>
        <w:t>Таблица 2</w:t>
      </w:r>
    </w:p>
    <w:tbl>
      <w:tblPr>
        <w:jc w:val="center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</w:tblBorders>
      </w:tblPr>
      <w:tblGrid>
        <w:gridCol w:w="1121"/>
        <w:gridCol w:w="1186"/>
        <w:gridCol w:w="7530"/>
        <w:gridCol w:w="583"/>
        <w:gridCol w:w="734"/>
        <w:gridCol w:w="733"/>
        <w:gridCol w:w="733"/>
        <w:gridCol w:w="733"/>
        <w:gridCol w:w="734"/>
        <w:gridCol w:w="583"/>
        <w:gridCol w:w="446"/>
      </w:tblGrid>
      <w:tr>
        <w:trPr>
          <w:cantSplit w:val="false"/>
        </w:trPr>
        <w:tc>
          <w:tcPr>
            <w:tcW w:type="dxa" w:w="1121"/>
            <w:vMerge w:val="restart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type="dxa" w:w="1186"/>
            <w:vMerge w:val="restart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type="dxa" w:w="7530"/>
            <w:gridSpan w:val="1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Итоговый класс (подкласс) условий труда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Повышенный размер оплаты труда (да,нет)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Ежегодный дополнительный оплачиваемый отпуск (да/нет)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Сокращенная продолжительность рабочего времени (да/нет)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Молоко или другие равноценные пищевые продукты (да/нет)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Лечебно-профилактическое питание (да/нет)</w:t>
            </w:r>
          </w:p>
        </w:tc>
        <w:tc>
          <w:tcPr>
            <w:tcW w:type="dxa" w:w="44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Льготное пенсионное обеспечение (да/нет)</w:t>
            </w:r>
          </w:p>
        </w:tc>
      </w:tr>
      <w:tr>
        <w:trPr>
          <w:trHeight w:hRule="atLeast" w:val="2200"/>
          <w:cantSplit w:val="false"/>
        </w:trPr>
        <w:tc>
          <w:tcPr>
            <w:tcW w:type="dxa" w:w="1121"/>
            <w:vMerge w:val="continue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186"/>
            <w:vMerge w:val="continue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химический фактор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биологический фактор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аэрозоли преимущественно фиброгенного действия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шум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инфразвук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ультразвук воздушный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вибрация общая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вибрация локальная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неионизирующие излучения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ионизирующие излучения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микроклимат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световая среда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тяжесть трудового процесса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  <w:eastAsianLayout w:vert="true"/>
              </w:rPr>
              <w:t>напряженность трудового процесса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 Цех №14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14.4А (14.3А)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(компрессорной установки)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14.7А (14.6А)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14.8А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14.9А (14.8А)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14.10А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14.11А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14.12А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14.13А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14.14А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14.15А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14.16А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14.17А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14.18А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14.19А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14.20А (14.10А)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14.22А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14.23А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14.24А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14.25А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14.26А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14.27А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14.28А (14.21А)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14.29А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14.30А (14.29А)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14.32А (14.31А)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14.33А (14.31А)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14.34А (14.31А)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14.35А (14.31А)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14.37А (14.36А)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14.38А (14.36А)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14.39А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14.40А (14.39А)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14.41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 Цех №15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15.6А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15.7А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15.9А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15.10А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15.11А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15.12А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15.13А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15.14А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15.15А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15.16А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15.17А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15.18А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15.19А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15.20А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15.21А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15.22А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15.23А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15.24А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15.25А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15.26А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15.27А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15.28А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15.29А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15.30А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15.31А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15.32А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15.33А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15.34А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15.35А (15.3А)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15.37А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15.38А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15.39А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15.40А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15.41А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15.42А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15.43А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15.44А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15.45А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15.46А (15.36А)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15.47А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15.48А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15.49А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15.50А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15.51А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15.52А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15.53А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15.54А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15.55А (15.47А)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15.56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15.82.1А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15.82.2А (15.82.1А)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15.82.3А (15.82.1А)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 НТЦ "Коралл"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полуфабрикатов и готовой продукции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21.400.2А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21.400.3А (21.400.2А)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21.400.4А (21.400.2А)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21.400.5А (21.400.2А)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bookmarkStart w:id="6" w:name="_GoBack"/>
            <w:bookmarkEnd w:id="6"/>
            <w:r>
              <w:rPr>
                <w:sz w:val="18"/>
                <w:szCs w:val="18"/>
              </w:rPr>
              <w:t>21.400.6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bookmarkStart w:id="7" w:name="_GoBack"/>
            <w:bookmarkEnd w:id="7"/>
            <w:r>
              <w:rPr>
                <w:sz w:val="18"/>
                <w:szCs w:val="18"/>
              </w:rPr>
              <w:t>21.400.7А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21.400.8А (21.400.7А)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21.400.9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резальных машин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 Управление №25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25.5.2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Контрольный мастер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25.5.3А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25.5.4А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25.5.5А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25.5.6А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25.5.7А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25.5.8А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25.5.9А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25.5.10А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25.5.11А (25.5.3А)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(БТК-5)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25.82.1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25.82.2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25.ОИ.1А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Слесарь-испытатель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25.ОИ.2А (25.ОИ.1А)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Слесарь-испытатель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25.ОИ.3А (25.ОИ.1А)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Слесарь-испытатель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38. Отдел №38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48. Цех №48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48.2А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48.3А (48.2А)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48.4А (48.2А)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 Управление №60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60.2А (60.1А)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60.3А (60.1А)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60.4А (60.1А)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заправочной станции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Заведующий складом (центральным складом)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 Управление №63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(горячий цех)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63.2А (63.1А)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(горячий цех)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63.3А (63.1А)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(горячий цех)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63.4А (63.1А)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(горячий цех)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63.5А (63.1А)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(горячий цех)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63.6А (63.1А)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(горячий цех)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63.7А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Кухонный рабочий (моечная)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63.8А (63.7А)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Кухонный рабочий (моечная)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63.9А (63.7А)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Кухонный рабочий (моечная)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63.10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(блинная)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63.12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Повар (полуфабрикаты)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63.13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Кухонный рабочий (моечная блинной)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63.14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Продавец продовольственных товаров (блинная)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63.15А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Продавец продовольственных товаров (кафетерий)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63.16А (63.15А)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Продавец продовольственных товаров (кафетерий)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63.17А (63.15А)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Продавец продовольственных товаров (кафетерий)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63.18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63.19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63.20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63.22А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63.23А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63.24А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63.25А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63.26А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63.27А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63.28А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63.29А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63.30А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63.31А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63.32А (63.21А)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63.33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 xml:space="preserve">Кухонный рабочий 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63.34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 xml:space="preserve">Кухонный рабочий 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 ЦПБ №78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инженер-руководитель лаборатории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78.3А (78.2А)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78.4А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78.5А (78.4А)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78.6А (78.4А)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78.7А (78.4А)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(ЛПСРБ)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78.8А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(ХСЛ группа спектрального анализа)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78.9А (78.8А)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(ХСЛ группа спектрального анализа)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78.10А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(ХСЛ группа спектрального анализа)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78.11А (78.10А)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(ХСЛ группа спектрального анализа)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78.12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 спектрального анализа (ХСЛ)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78.13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специалист-руководитель лаборатории (ЛОМ)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78.14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(ЛОМ)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78.15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 xml:space="preserve">Инженер 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78.17А (78.16А)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78.18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78.19А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Дефектоскопист рентгено-, гаммаграфирования (дефектоскопист рентгено-гаммаграфирования (ЛММИ группа контроля литейного производства))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78.20А (78.19А)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Дефектоскопист рентгено-, гаммаграфирования (дефектоскопист рентгено-гаммаграфирования (ЛММИ группа контроля литейного производства))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 по анализу формовочных и шихтовых смесей (ЛММИ группа контроля литейного производства)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78.22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специалист-руководитель лаборатории (ЛММИ)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78.23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(ГММИ)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78.24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Лаборант-металлограф (ЛММИ)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78.25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Дефектоскопист газового и жидкостного контроля (капиллярный контроль) (техник)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78.26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 ИЦ-81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81.7А (81.6А)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81.8А (81.6А)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81.9А (81.6А)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81.10А (81.6А)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81.12А (81.11А)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81.13А (81.11А)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81.14А (81.11А)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81.15А (81.11А)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81.17А (81.16А)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81.18А (81.16А)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81.19А (81.16А)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81.20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81.21А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81.22А (81.21А)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81.23А (81.21А)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РСЦ.24А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81.РСЦ.25А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РСЦ.26А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РСЦ.27А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РСЦ.28А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РСЦ.29А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РСЦ.30А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РСЦ.31А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РСЦ.32А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РСЦ.33А (81. РСЦ.24А)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РСЦ.34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РСЦ.35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РСЦ.36А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РСЦ.37А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РСЦ.38А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РСЦ.39А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РСЦ.40А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РСЦ.41А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РСЦ.42А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РСЦ.43А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РСЦ.44А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РСЦ.45А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РСЦ.46А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РСЦ.47А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РСЦ.48А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РСЦ.49А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РСЦ.50А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РСЦ.51А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РСЦ.52А (81. РСЦ.36А)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РСЦ.53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Облицовщик-плиточник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РСЦ.54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Облицовщик-плиточник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РСЦ.55А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РСЦ.56А (81. РСЦ.55А)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РСЦ.57А (81. РСЦ.56А)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81. РСЦ.58А (81. РСЦ.56А)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853. ЦИТиСУ №853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853.2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Кабельщик-спайщик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853.3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Кабельщик-спайщик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 Управление №872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872.827.1А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872.827.2А (872.827.1А)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872.827.3А (872.827.1А)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872.827.4А (872.827.1А)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872.817.1А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 (участок №817)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872.817.2А (872.817.1А)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 (участок №817)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872.817.3А (872.817.1А)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 (участок №817)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872.817.4А (872.817.1А)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 (участок №817)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872.817.5А (872.817.1А)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Уборщик производственных и служебных помещений (участок №817)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5116"/>
            <w:gridSpan w:val="2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 НТЦ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21.224.1</w:t>
            </w:r>
          </w:p>
        </w:tc>
        <w:tc>
          <w:tcPr>
            <w:tcW w:type="dxa" w:w="118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инженер-технолог-руководитель группы (лаборатория сварки)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8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45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style0"/>
        <w:jc w:val="right"/>
      </w:pPr>
      <w:r>
        <w:rPr>
          <w:sz w:val="18"/>
          <w:szCs w:val="18"/>
          <w:lang w:val="en-US"/>
        </w:rPr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51" w:footer="709" w:gutter="0" w:header="709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2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</w:rPr>
  </w:style>
  <w:style w:styleId="style20" w:type="character">
    <w:name w:val="Нижний колонтитул Знак"/>
    <w:basedOn w:val="style15"/>
    <w:next w:val="style20"/>
    <w:rPr>
      <w:sz w:val="24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Готовый"/>
    <w:basedOn w:val="style0"/>
    <w:next w:val="style26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7" w:type="paragraph">
    <w:name w:val="ConsPlusNonformat"/>
    <w:next w:val="style27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8" w:type="paragraph">
    <w:name w:val="No Spacing"/>
    <w:next w:val="style28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29" w:type="paragraph">
    <w:name w:val="Раздел"/>
    <w:basedOn w:val="style0"/>
    <w:next w:val="style29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0" w:type="paragraph">
    <w:name w:val="Табличный"/>
    <w:basedOn w:val="style0"/>
    <w:next w:val="style30"/>
    <w:pPr>
      <w:jc w:val="center"/>
    </w:pPr>
    <w:rPr>
      <w:sz w:val="20"/>
    </w:rPr>
  </w:style>
  <w:style w:styleId="style31" w:type="paragraph">
    <w:name w:val="Normal (Web)"/>
    <w:basedOn w:val="style0"/>
    <w:next w:val="style31"/>
    <w:pPr>
      <w:spacing w:after="28" w:before="28"/>
      <w:contextualSpacing w:val="false"/>
    </w:pPr>
    <w:rPr>
      <w:sz w:val="24"/>
      <w:szCs w:val="24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2019-11-11T11:53:00.00Z</dcterms:created>
  <dc:creator>RePack by Diakov</dc:creator>
  <cp:lastModifiedBy>RePack by Diakov</cp:lastModifiedBy>
  <dcterms:modified xsi:type="dcterms:W3CDTF">2019-11-14T05:39:00.00Z</dcterms:modified>
  <cp:revision>13</cp:revision>
  <dc:title>Сводная ведомость</dc:title>
</cp:coreProperties>
</file>