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spacing w:after="0" w:before="60"/>
        <w:contextualSpacing w:val="false"/>
        <w:jc w:val="center"/>
      </w:pPr>
      <w:bookmarkStart w:id="0" w:name="_GoBack"/>
      <w:bookmarkEnd w:id="0"/>
      <w:r>
        <w:rPr/>
        <w:t>Перечень рекомендуемых мероприятий по улучшению условий труда</w:t>
      </w:r>
    </w:p>
    <w:p>
      <w:pPr>
        <w:pStyle w:val="style0"/>
      </w:pPr>
      <w:r>
        <w:rPr/>
      </w:r>
    </w:p>
    <w:p>
      <w:pPr>
        <w:pStyle w:val="style0"/>
      </w:pPr>
      <w:r>
        <w:rPr/>
        <w:t>Наименование организации:</w:t>
      </w:r>
      <w:r>
        <w:rPr>
          <w:rStyle w:val="style18"/>
        </w:rPr>
        <w:t xml:space="preserve">Поле пользователя ceh_info = авод" </w:t>
      </w:r>
      <w:r>
        <w:rPr>
          <w:rStyle w:val="style18"/>
        </w:rPr>
        <w:t> </w:t>
      </w:r>
    </w:p>
    <w:p>
      <w:pPr>
        <w:pStyle w:val="style28"/>
        <w:jc w:val="center"/>
      </w:pPr>
      <w:r>
        <w:rPr>
          <w:rFonts w:ascii="Times New Roman" w:hAnsi="Times New Roman"/>
          <w:b/>
          <w:sz w:val="28"/>
          <w:szCs w:val="28"/>
        </w:rPr>
      </w:r>
    </w:p>
    <w:tbl>
      <w:tblPr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3048"/>
        <w:gridCol w:w="3686"/>
        <w:gridCol w:w="2834"/>
        <w:gridCol w:w="1383"/>
        <w:gridCol w:w="3293"/>
        <w:gridCol w:w="1318"/>
      </w:tblGrid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bookmarkStart w:id="1" w:name="main_table"/>
            <w:bookmarkEnd w:id="1"/>
            <w:r>
              <w:rPr/>
              <w:t>Наименование структурного подразделения, рабочего места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Наименование мероприятия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Цель мероприятия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Срок</w:t>
            </w:r>
            <w:r>
              <w:rPr>
                <w:lang w:val="en-US"/>
              </w:rPr>
              <w:br/>
            </w:r>
            <w:r>
              <w:rPr/>
              <w:t>выполнения</w:t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Структурные подразделения, привлекаемые для выполнения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Отметка о выполнении</w:t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1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2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3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4</w:t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5</w:t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6</w:t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14. Цех №14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14.21А(14.22А; 14.23А; 14.24А; 14.25А; 14.26А; 14.27А; 14.28А). Слесарь по ремонту оборудования котельных и пылеприготовительных цехов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14.39А(14.40А).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фактор является неустранимым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мероприятия отсутствуют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14.41. Огнеупорщик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15. Цех №15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15.3А(15.4А; 15.5А; 15.6А; 15.7А; 15.8А; 15.9А; 15.10А; 15.11А; 15.12А; 15.13А; 15.14А; 15.15А; 15.16А; 15.17А; 15.18А; 15.19А; 15.20А; 15.21А; 15.22А; 15.23А; 15.24А; 15.25А; 15.26А; 15.27А; 15.28А; 15.29А; 15.30А; 15.31А; 15.32А; 15.33А; 15.34А; 15.35А). Монтажник санитарно-технических систем и оборудования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15.36А(15.37А; 15.38А; 15.39А; 15.40А; 15.41А; 15.42А; 15.43А; 15.44А; 15.45А; 15.46А). 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trHeight w:hRule="atLeast" w:val="1998"/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15.47А(15.48А; 15.49А; 15.50А; 15.51А; 15.52А; 15.53А; 15.54А; 15.55А).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УФ-излучение: фактор является неустранимым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мероприятия отсутствуют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trHeight w:hRule="atLeast" w:val="588"/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21. НТЦ "Коралл"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21.400.1. Контролер полуфабрикатов и готовой продукции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21.400.2А(21.400.3А; 21.400.4А; 21.400.5А). Переплетчик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21.400.6. Переплетчик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21.400.7А(21.400.8А). Печатник плоской печати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21.400.9. Машинист резальных машин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тяжести трудового процесса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  <w:sz w:val="18"/>
                <w:szCs w:val="18"/>
              </w:rPr>
              <w:t>25. Управление №25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25.ОИ 1А(25.ОИ 2А; 25.ОИ.3А). Слесарь-испытатель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  <w:sz w:val="18"/>
                <w:szCs w:val="18"/>
              </w:rPr>
              <w:t>38. Отдел №38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  <w:sz w:val="18"/>
                <w:szCs w:val="18"/>
              </w:rPr>
              <w:t>48. Цех №48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8"/>
                <w:szCs w:val="18"/>
              </w:rPr>
              <w:t>48.2А(48.3А; 48.4А). Грузчик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</w:t>
            </w:r>
          </w:p>
          <w:p>
            <w:pPr>
              <w:pStyle w:val="style30"/>
            </w:pPr>
            <w:r>
              <w:rPr>
                <w:sz w:val="18"/>
                <w:szCs w:val="18"/>
              </w:rPr>
              <w:t>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тяжести трудового процесса 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60. Управление №60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63. Управление №63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78. ЦПБ №78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78.3.2.1. Ведущий специалист-руководитель лаборатории (ЛОМ)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78.3.2.2. Ведущий инженер (ЛОМ)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 xml:space="preserve">78.3.2.3А(78.3.2.4А). Инженер 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78.3.2.5А(78.3.2.6А; 78.3.2.7А). Приготовитель растворов и смесей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78.3.2.8. Инженер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78.3.3.1. Ведущий специалист-руководитель лаборатории (ЛММИ)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напряженности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78.3.3.2А (78.3.3.3А) Инженер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напряженности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 xml:space="preserve">78.3.3.4. Лаборант-металлограф 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напряженности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  <w:t>78.3.3.9. Лаборант по анализу формовочных и шихтовых смесей (ЛММИ группа контроля литейного производства)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  <w:sz w:val="19"/>
                <w:szCs w:val="19"/>
              </w:rPr>
              <w:t>81. ИЦ-81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  <w:t>81.6А(81.7А; 81.8А; 81.9А; 81.10А).  Электромонтер по ремонту и обслуживанию электрооборудования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 xml:space="preserve">Снижение напряженности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  <w:t>81.20. Электрогазосварщик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>УФ-излучение: фактор является неустранимым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 xml:space="preserve">мероприятия отсутствуют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  <w:t>81.21А(81.22А; 81.23А). Слесарь по ремонту оборудования котельных и пылеприготовительных цехов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  <w:t>81 РСЦ.24А (81. РСЦ 25А; 81. РСЦ 26А; 81. РСЦ 27А; 81. РСЦ 28А; 81. РСЦ 29; 81. РСЦ 30А; 81. РСЦ 31А; 81. РСЦ 32А; 81. РСЦ 33А). Каменщик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9"/>
                <w:szCs w:val="19"/>
              </w:rP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9"/>
                <w:szCs w:val="19"/>
              </w:rPr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9"/>
                <w:szCs w:val="19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9"/>
                <w:szCs w:val="19"/>
              </w:rPr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9"/>
                <w:szCs w:val="19"/>
              </w:rPr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19"/>
                <w:szCs w:val="19"/>
              </w:rPr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9"/>
                <w:szCs w:val="19"/>
              </w:rPr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81. РСЦ 34. Кровельщик по рулонным кровлям и по кровлям из штучных материалов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81.РСЦ 35. Кровельщик по рулонным кровлям и по кровлям из штучных материалов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81.РСЦ 36А(81. РСЦ 37А; 81. РСЦ 38А; 81.РСЦ 39А; 81РСЦ.40А; 81.РСЦ 41А; 81.РСЦ 42А; 81.РСЦ 43А; 81.РСЦ 44А; 81.РСЦ 45А; 81.РСЦ 46А; 81.РСЦ 47А; 81.РСЦ 48А; 81.РСЦ 49А; 81.РСЦ 50А; 81.РСЦ 51А; 81.РСЦ 52А). Маляр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81. РСЦ 53. Облицовщик-плиточник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81. РСЦ 54. Облицовщик-плиточник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трудо-</w:t>
            </w:r>
          </w:p>
          <w:p>
            <w:pPr>
              <w:pStyle w:val="style30"/>
            </w:pPr>
            <w:r>
              <w:rPr/>
              <w:t>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81.РСЦ 55А(81.РСЦ 56А; 81. РСЦ 57А; 81. РСЦ 58А). Штукатур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853. ЦИТиСУ №853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853.2. Кабельщик-спайщик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853.3. Кабельщик-спайщик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872. Управление №872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872.827.1А(872.827.2А; 872.827.3А; 872.827.4А). Уборщик в литейных цехах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Разработать мероприятия для приведения условий труда по тяжести трудового процесса в соответствии с нормирующими показателями согласно Приложению №20 к Методике  проведения специальной оценки условий труда, утв. Приказом Минтруда России от 24.01.2014 №33н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тяжести трудового процесса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Снижение времени  воздействия шума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>
                <w:b/>
                <w:i/>
              </w:rPr>
              <w:t>21. НТЦ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0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  <w:jc w:val="left"/>
            </w:pPr>
            <w:r>
              <w:rPr/>
              <w:t>21.224.1. Ведущий инженер-технолог-руководитель группы (лаборатория сварки)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>Организовать рациональные режимы труда  и отдыха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  <w:t xml:space="preserve">Уменьшение времени контакта с вредными веществами </w:t>
            </w:r>
          </w:p>
        </w:tc>
        <w:tc>
          <w:tcPr>
            <w:tcW w:type="dxa" w:w="13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32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  <w:tc>
          <w:tcPr>
            <w:tcW w:type="dxa" w:w="13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3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851" w:footer="0" w:gutter="0" w:header="0" w:left="851" w:right="851" w:top="89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ru-RU" w:val="ru-RU"/>
    </w:rPr>
  </w:style>
  <w:style w:styleId="style1" w:type="paragraph">
    <w:name w:val="Заголовок 1"/>
    <w:basedOn w:val="style0"/>
    <w:next w:val="style22"/>
    <w:pPr>
      <w:keepNext/>
      <w:spacing w:after="60" w:before="240"/>
      <w:contextualSpacing w:val="false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Раздел Знак"/>
    <w:basedOn w:val="style15"/>
    <w:next w:val="style17"/>
    <w:rPr>
      <w:b/>
      <w:color w:val="000000"/>
      <w:sz w:val="24"/>
      <w:szCs w:val="24"/>
      <w:lang w:bidi="ar-SA" w:eastAsia="ru-RU" w:val="ru-RU"/>
    </w:rPr>
  </w:style>
  <w:style w:styleId="style18" w:type="character">
    <w:name w:val="Поле"/>
    <w:basedOn w:val="style15"/>
    <w:next w:val="style18"/>
    <w:rPr>
      <w:rFonts w:ascii="Times New Roman" w:hAnsi="Times New Roman"/>
      <w:sz w:val="24"/>
      <w:u w:val="single"/>
    </w:rPr>
  </w:style>
  <w:style w:styleId="style19" w:type="character">
    <w:name w:val="Верхний колонтитул Знак"/>
    <w:basedOn w:val="style15"/>
    <w:next w:val="style19"/>
    <w:rPr>
      <w:sz w:val="24"/>
    </w:rPr>
  </w:style>
  <w:style w:styleId="style20" w:type="character">
    <w:name w:val="Нижний колонтитул Знак"/>
    <w:basedOn w:val="style15"/>
    <w:next w:val="style20"/>
    <w:rPr>
      <w:sz w:val="24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Готовый"/>
    <w:basedOn w:val="style0"/>
    <w:next w:val="style26"/>
    <w:pPr>
      <w:widowControl w:val="false"/>
      <w:tabs>
        <w:tab w:leader="none" w:pos="0" w:val="left"/>
        <w:tab w:leader="none" w:pos="959" w:val="left"/>
        <w:tab w:leader="none" w:pos="1918" w:val="left"/>
        <w:tab w:leader="none" w:pos="2877" w:val="left"/>
        <w:tab w:leader="none" w:pos="3836" w:val="left"/>
        <w:tab w:leader="none" w:pos="4795" w:val="left"/>
        <w:tab w:leader="none" w:pos="5754" w:val="left"/>
        <w:tab w:leader="none" w:pos="6713" w:val="left"/>
        <w:tab w:leader="none" w:pos="7672" w:val="left"/>
        <w:tab w:leader="none" w:pos="8631" w:val="left"/>
        <w:tab w:leader="none" w:pos="9590" w:val="left"/>
      </w:tabs>
    </w:pPr>
    <w:rPr>
      <w:rFonts w:ascii="Courier New" w:hAnsi="Courier New"/>
    </w:rPr>
  </w:style>
  <w:style w:styleId="style27" w:type="paragraph">
    <w:name w:val="ConsPlusNonformat"/>
    <w:next w:val="style27"/>
    <w:pPr>
      <w:widowControl w:val="false"/>
      <w:tabs/>
      <w:suppressAutoHyphens w:val="tru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28" w:type="paragraph">
    <w:name w:val="No Spacing"/>
    <w:next w:val="style28"/>
    <w:pPr>
      <w:widowControl/>
      <w:tabs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29" w:type="paragraph">
    <w:name w:val="Раздел"/>
    <w:basedOn w:val="style0"/>
    <w:next w:val="style29"/>
    <w:pPr>
      <w:spacing w:after="0" w:before="60"/>
      <w:contextualSpacing w:val="false"/>
    </w:pPr>
    <w:rPr>
      <w:b/>
      <w:color w:val="000000"/>
      <w:sz w:val="24"/>
      <w:szCs w:val="24"/>
    </w:rPr>
  </w:style>
  <w:style w:styleId="style30" w:type="paragraph">
    <w:name w:val="Табличный"/>
    <w:basedOn w:val="style0"/>
    <w:next w:val="style30"/>
    <w:pPr>
      <w:jc w:val="center"/>
    </w:pPr>
    <w:rPr>
      <w:sz w:val="20"/>
    </w:rPr>
  </w:style>
  <w:style w:styleId="style31" w:type="paragraph">
    <w:name w:val="Верхний колонтитул"/>
    <w:basedOn w:val="style0"/>
    <w:next w:val="style31"/>
    <w:pPr>
      <w:suppressLineNumbers/>
      <w:tabs>
        <w:tab w:leader="none" w:pos="4677" w:val="center"/>
        <w:tab w:leader="none" w:pos="9355" w:val="right"/>
      </w:tabs>
    </w:pPr>
    <w:rPr/>
  </w:style>
  <w:style w:styleId="style32" w:type="paragraph">
    <w:name w:val="Ниж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2019-11-12T18:09:00.00Z</dcterms:created>
  <dc:creator>RePack by Diakov</dc:creator>
  <cp:lastModifiedBy>patrushev</cp:lastModifiedBy>
  <cp:lastPrinted>2019-12-19T08:12:00.00Z</cp:lastPrinted>
  <dcterms:modified xsi:type="dcterms:W3CDTF">2019-12-19T08:16:00.00Z</dcterms:modified>
  <cp:revision>14</cp:revision>
  <dc:title>Перечень мероприятий</dc:title>
</cp:coreProperties>
</file>